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445388" w14:textId="711F7438" w:rsidR="0078017A" w:rsidRPr="0078017A" w:rsidRDefault="0078017A" w:rsidP="0078017A">
      <w:pPr>
        <w:spacing w:line="480" w:lineRule="auto"/>
        <w:jc w:val="both"/>
        <w:rPr>
          <w:rFonts w:ascii="Times New Roman" w:hAnsi="Times New Roman" w:cs="Times New Roman"/>
          <w:b/>
          <w:bCs/>
          <w:color w:val="212121"/>
          <w:sz w:val="20"/>
          <w:szCs w:val="20"/>
          <w:shd w:val="clear" w:color="auto" w:fill="FFFFFF"/>
          <w:lang w:val="en-US"/>
        </w:rPr>
      </w:pPr>
      <w:r w:rsidRPr="00060001">
        <w:rPr>
          <w:rFonts w:ascii="Times New Roman" w:hAnsi="Times New Roman" w:cs="Times New Roman"/>
          <w:b/>
          <w:bCs/>
          <w:color w:val="212121"/>
          <w:sz w:val="20"/>
          <w:szCs w:val="20"/>
          <w:shd w:val="clear" w:color="auto" w:fill="FFFFFF"/>
          <w:lang w:val="en-US"/>
        </w:rPr>
        <w:t>Table 1-</w:t>
      </w:r>
      <w:r>
        <w:rPr>
          <w:rFonts w:ascii="Times New Roman" w:hAnsi="Times New Roman" w:cs="Times New Roman"/>
          <w:b/>
          <w:bCs/>
          <w:color w:val="212121"/>
          <w:sz w:val="20"/>
          <w:szCs w:val="20"/>
          <w:shd w:val="clear" w:color="auto" w:fill="FFFFFF"/>
          <w:lang w:val="en-US"/>
        </w:rPr>
        <w:t>source data</w:t>
      </w:r>
      <w:bookmarkStart w:id="0" w:name="_GoBack"/>
      <w:bookmarkEnd w:id="0"/>
      <w:r w:rsidRPr="00060001">
        <w:rPr>
          <w:rFonts w:ascii="Times New Roman" w:hAnsi="Times New Roman" w:cs="Times New Roman"/>
          <w:b/>
          <w:bCs/>
          <w:color w:val="212121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color w:val="212121"/>
          <w:sz w:val="20"/>
          <w:szCs w:val="20"/>
          <w:shd w:val="clear" w:color="auto" w:fill="FFFFFF"/>
          <w:lang w:val="en-US"/>
        </w:rPr>
        <w:t>2</w:t>
      </w:r>
      <w:r w:rsidRPr="00B85027">
        <w:rPr>
          <w:rFonts w:ascii="Times New Roman" w:hAnsi="Times New Roman" w:cs="Times New Roman"/>
          <w:b/>
          <w:bCs/>
          <w:color w:val="212121"/>
          <w:sz w:val="20"/>
          <w:szCs w:val="20"/>
          <w:shd w:val="clear" w:color="auto" w:fill="FFFFFF"/>
          <w:lang w:val="en-US"/>
        </w:rPr>
        <w:t>:</w:t>
      </w:r>
      <w:r w:rsidRPr="00B85027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Pr="00B85027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lang w:val="en-US"/>
        </w:rPr>
        <w:t>k</w:t>
      </w:r>
      <w:r w:rsidRPr="00B85027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vertAlign w:val="subscript"/>
          <w:lang w:val="en-US"/>
        </w:rPr>
        <w:t>on</w:t>
      </w:r>
      <w:proofErr w:type="spellEnd"/>
      <w:r w:rsidRPr="00B85027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lang w:val="en-US"/>
        </w:rPr>
        <w:t xml:space="preserve"> calculation. Overview of </w:t>
      </w:r>
      <w:proofErr w:type="spellStart"/>
      <w:r w:rsidRPr="00B85027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lang w:val="en-US"/>
        </w:rPr>
        <w:t>k</w:t>
      </w:r>
      <w:r w:rsidRPr="00B85027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vertAlign w:val="subscript"/>
          <w:lang w:val="en-US"/>
        </w:rPr>
        <w:t>on</w:t>
      </w:r>
      <w:proofErr w:type="spellEnd"/>
      <w:r w:rsidRPr="00B85027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lang w:val="en-US"/>
        </w:rPr>
        <w:t xml:space="preserve"> rate constants obtained from competitive binding experiments with </w:t>
      </w:r>
      <w:proofErr w:type="spellStart"/>
      <w:r w:rsidRPr="00B85027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lang w:val="en-US"/>
        </w:rPr>
        <w:t>mantdGDP</w:t>
      </w:r>
      <w:proofErr w:type="spellEnd"/>
      <w:r w:rsidRPr="00B85027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lang w:val="en-US"/>
        </w:rPr>
        <w:t xml:space="preserve"> </w:t>
      </w:r>
      <w:r w:rsidRPr="00A11BED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lang w:val="en-US"/>
        </w:rPr>
        <w:t>(Table 1-</w:t>
      </w:r>
      <w:r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lang w:val="en-US"/>
        </w:rPr>
        <w:t>source data</w:t>
      </w:r>
      <w:r w:rsidRPr="00A11BED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lang w:val="en-US"/>
        </w:rPr>
        <w:t xml:space="preserve"> 1).</w:t>
      </w:r>
      <w:r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lang w:val="en-US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363"/>
        <w:gridCol w:w="1124"/>
        <w:gridCol w:w="1124"/>
        <w:gridCol w:w="1414"/>
        <w:gridCol w:w="1037"/>
        <w:gridCol w:w="1244"/>
      </w:tblGrid>
      <w:tr w:rsidR="0078017A" w:rsidRPr="009B7C80" w14:paraId="44CD2E7F" w14:textId="77777777" w:rsidTr="002027CD">
        <w:trPr>
          <w:trHeight w:val="397"/>
        </w:trPr>
        <w:tc>
          <w:tcPr>
            <w:tcW w:w="136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14:paraId="31454147" w14:textId="77777777" w:rsidR="0078017A" w:rsidRPr="009B7C80" w:rsidRDefault="0078017A" w:rsidP="002027CD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4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14:paraId="48E61576" w14:textId="77777777" w:rsidR="0078017A" w:rsidRPr="009B7C80" w:rsidRDefault="0078017A" w:rsidP="002027C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9B7C8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nucleotide</w:t>
            </w:r>
          </w:p>
        </w:tc>
        <w:tc>
          <w:tcPr>
            <w:tcW w:w="14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14:paraId="3DD23373" w14:textId="77777777" w:rsidR="0078017A" w:rsidRPr="009B7C80" w:rsidRDefault="0078017A" w:rsidP="002027C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9B7C8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eda</w:t>
            </w:r>
            <w:proofErr w:type="spellEnd"/>
          </w:p>
        </w:tc>
        <w:tc>
          <w:tcPr>
            <w:tcW w:w="103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14:paraId="440C859D" w14:textId="77777777" w:rsidR="0078017A" w:rsidRPr="009B7C80" w:rsidRDefault="0078017A" w:rsidP="002027C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9B7C8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pda</w:t>
            </w:r>
            <w:proofErr w:type="spellEnd"/>
          </w:p>
        </w:tc>
        <w:tc>
          <w:tcPr>
            <w:tcW w:w="12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14:paraId="2F6EB2C6" w14:textId="77777777" w:rsidR="0078017A" w:rsidRPr="009B7C80" w:rsidRDefault="0078017A" w:rsidP="002027C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9B7C8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bda</w:t>
            </w:r>
            <w:proofErr w:type="spellEnd"/>
          </w:p>
        </w:tc>
      </w:tr>
      <w:tr w:rsidR="0078017A" w:rsidRPr="009B7C80" w14:paraId="245493A7" w14:textId="77777777" w:rsidTr="002027CD">
        <w:trPr>
          <w:trHeight w:val="397"/>
        </w:trPr>
        <w:tc>
          <w:tcPr>
            <w:tcW w:w="1363" w:type="dxa"/>
            <w:vMerge w:val="restart"/>
            <w:tcBorders>
              <w:top w:val="single" w:sz="8" w:space="0" w:color="000000"/>
            </w:tcBorders>
            <w:vAlign w:val="center"/>
          </w:tcPr>
          <w:p w14:paraId="0E7D8C71" w14:textId="77777777" w:rsidR="0078017A" w:rsidRPr="009B7C80" w:rsidRDefault="0078017A" w:rsidP="002027CD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9B7C8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k</w:t>
            </w:r>
            <w:r w:rsidRPr="009B7C8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val="en-GB"/>
              </w:rPr>
              <w:t>on</w:t>
            </w:r>
            <w:proofErr w:type="spellEnd"/>
          </w:p>
          <w:p w14:paraId="0181776A" w14:textId="77777777" w:rsidR="0078017A" w:rsidRPr="009B7C80" w:rsidRDefault="0078017A" w:rsidP="002027CD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9B7C8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[µM</w:t>
            </w:r>
            <w:r w:rsidRPr="009B7C8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val="en-GB"/>
              </w:rPr>
              <w:t>-1</w:t>
            </w:r>
            <w:r w:rsidRPr="009B7C8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s</w:t>
            </w:r>
            <w:r w:rsidRPr="009B7C8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val="en-GB"/>
              </w:rPr>
              <w:t>-1</w:t>
            </w:r>
            <w:r w:rsidRPr="009B7C8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]</w:t>
            </w:r>
          </w:p>
        </w:tc>
        <w:tc>
          <w:tcPr>
            <w:tcW w:w="1124" w:type="dxa"/>
            <w:tcBorders>
              <w:top w:val="single" w:sz="4" w:space="0" w:color="auto"/>
            </w:tcBorders>
            <w:vAlign w:val="bottom"/>
          </w:tcPr>
          <w:p w14:paraId="5ECEBF00" w14:textId="77777777" w:rsidR="0078017A" w:rsidRPr="009B7C80" w:rsidRDefault="0078017A" w:rsidP="002027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C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GDP</w:t>
            </w:r>
          </w:p>
        </w:tc>
        <w:tc>
          <w:tcPr>
            <w:tcW w:w="1124" w:type="dxa"/>
            <w:tcBorders>
              <w:top w:val="single" w:sz="4" w:space="0" w:color="auto"/>
            </w:tcBorders>
            <w:vAlign w:val="bottom"/>
          </w:tcPr>
          <w:p w14:paraId="3C824442" w14:textId="77777777" w:rsidR="0078017A" w:rsidRPr="009B7C80" w:rsidRDefault="0078017A" w:rsidP="002027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9B7C80">
              <w:rPr>
                <w:rFonts w:ascii="Times New Roman" w:hAnsi="Times New Roman" w:cs="Times New Roman"/>
                <w:sz w:val="20"/>
                <w:szCs w:val="20"/>
              </w:rPr>
              <w:t>4.22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vAlign w:val="bottom"/>
          </w:tcPr>
          <w:p w14:paraId="6C817470" w14:textId="77777777" w:rsidR="0078017A" w:rsidRPr="009B7C80" w:rsidRDefault="0078017A" w:rsidP="002027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9B7C80">
              <w:rPr>
                <w:rFonts w:ascii="Times New Roman" w:hAnsi="Times New Roman" w:cs="Times New Roman"/>
                <w:sz w:val="20"/>
                <w:szCs w:val="20"/>
              </w:rPr>
              <w:t>3.73</w:t>
            </w:r>
          </w:p>
        </w:tc>
        <w:tc>
          <w:tcPr>
            <w:tcW w:w="1037" w:type="dxa"/>
            <w:tcBorders>
              <w:top w:val="single" w:sz="4" w:space="0" w:color="auto"/>
            </w:tcBorders>
            <w:vAlign w:val="bottom"/>
          </w:tcPr>
          <w:p w14:paraId="3D5CCC12" w14:textId="77777777" w:rsidR="0078017A" w:rsidRPr="009B7C80" w:rsidRDefault="0078017A" w:rsidP="002027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9B7C80">
              <w:rPr>
                <w:rFonts w:ascii="Times New Roman" w:hAnsi="Times New Roman" w:cs="Times New Roman"/>
                <w:sz w:val="20"/>
                <w:szCs w:val="20"/>
              </w:rPr>
              <w:t>3.34</w:t>
            </w:r>
          </w:p>
        </w:tc>
        <w:tc>
          <w:tcPr>
            <w:tcW w:w="1244" w:type="dxa"/>
            <w:tcBorders>
              <w:top w:val="single" w:sz="4" w:space="0" w:color="auto"/>
            </w:tcBorders>
            <w:vAlign w:val="bottom"/>
          </w:tcPr>
          <w:p w14:paraId="2C0DB139" w14:textId="77777777" w:rsidR="0078017A" w:rsidRPr="009B7C80" w:rsidRDefault="0078017A" w:rsidP="002027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C80">
              <w:rPr>
                <w:rFonts w:ascii="Times New Roman" w:hAnsi="Times New Roman" w:cs="Times New Roman"/>
                <w:sz w:val="20"/>
                <w:szCs w:val="20"/>
              </w:rPr>
              <w:t>3.12</w:t>
            </w:r>
          </w:p>
        </w:tc>
      </w:tr>
      <w:tr w:rsidR="0078017A" w:rsidRPr="009B7C80" w14:paraId="2C3E6D93" w14:textId="77777777" w:rsidTr="002027CD">
        <w:trPr>
          <w:trHeight w:val="397"/>
        </w:trPr>
        <w:tc>
          <w:tcPr>
            <w:tcW w:w="1363" w:type="dxa"/>
            <w:vMerge/>
            <w:vAlign w:val="center"/>
          </w:tcPr>
          <w:p w14:paraId="5BB12D22" w14:textId="77777777" w:rsidR="0078017A" w:rsidRPr="009B7C80" w:rsidRDefault="0078017A" w:rsidP="002027CD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124" w:type="dxa"/>
            <w:vAlign w:val="bottom"/>
          </w:tcPr>
          <w:p w14:paraId="371D456C" w14:textId="77777777" w:rsidR="0078017A" w:rsidRPr="009B7C80" w:rsidRDefault="0078017A" w:rsidP="002027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C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GTP</w:t>
            </w:r>
          </w:p>
        </w:tc>
        <w:tc>
          <w:tcPr>
            <w:tcW w:w="1124" w:type="dxa"/>
            <w:vAlign w:val="bottom"/>
          </w:tcPr>
          <w:p w14:paraId="78FD126D" w14:textId="77777777" w:rsidR="0078017A" w:rsidRPr="009B7C80" w:rsidRDefault="0078017A" w:rsidP="002027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9B7C80">
              <w:rPr>
                <w:rFonts w:ascii="Times New Roman" w:hAnsi="Times New Roman" w:cs="Times New Roman"/>
                <w:sz w:val="20"/>
                <w:szCs w:val="20"/>
              </w:rPr>
              <w:t>5.23</w:t>
            </w:r>
          </w:p>
        </w:tc>
        <w:tc>
          <w:tcPr>
            <w:tcW w:w="1414" w:type="dxa"/>
            <w:vAlign w:val="bottom"/>
          </w:tcPr>
          <w:p w14:paraId="1FB8E9C5" w14:textId="77777777" w:rsidR="0078017A" w:rsidRPr="009B7C80" w:rsidRDefault="0078017A" w:rsidP="002027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9B7C80">
              <w:rPr>
                <w:rFonts w:ascii="Times New Roman" w:hAnsi="Times New Roman" w:cs="Times New Roman"/>
                <w:sz w:val="20"/>
                <w:szCs w:val="20"/>
              </w:rPr>
              <w:t>4.39</w:t>
            </w:r>
          </w:p>
        </w:tc>
        <w:tc>
          <w:tcPr>
            <w:tcW w:w="1037" w:type="dxa"/>
            <w:vAlign w:val="bottom"/>
          </w:tcPr>
          <w:p w14:paraId="13ECDBF2" w14:textId="77777777" w:rsidR="0078017A" w:rsidRPr="009B7C80" w:rsidRDefault="0078017A" w:rsidP="002027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9B7C80">
              <w:rPr>
                <w:rFonts w:ascii="Times New Roman" w:hAnsi="Times New Roman" w:cs="Times New Roman"/>
                <w:sz w:val="20"/>
                <w:szCs w:val="20"/>
              </w:rPr>
              <w:t>3.36</w:t>
            </w:r>
          </w:p>
        </w:tc>
        <w:tc>
          <w:tcPr>
            <w:tcW w:w="1244" w:type="dxa"/>
            <w:vAlign w:val="bottom"/>
          </w:tcPr>
          <w:p w14:paraId="00BEA14B" w14:textId="77777777" w:rsidR="0078017A" w:rsidRPr="009B7C80" w:rsidRDefault="0078017A" w:rsidP="002027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C80">
              <w:rPr>
                <w:rFonts w:ascii="Times New Roman" w:hAnsi="Times New Roman" w:cs="Times New Roman"/>
                <w:sz w:val="20"/>
                <w:szCs w:val="20"/>
              </w:rPr>
              <w:t>4.21</w:t>
            </w:r>
          </w:p>
        </w:tc>
      </w:tr>
      <w:tr w:rsidR="0078017A" w:rsidRPr="009B7C80" w14:paraId="198E4BEE" w14:textId="77777777" w:rsidTr="002027CD">
        <w:trPr>
          <w:trHeight w:val="397"/>
        </w:trPr>
        <w:tc>
          <w:tcPr>
            <w:tcW w:w="1363" w:type="dxa"/>
            <w:vMerge/>
            <w:tcBorders>
              <w:bottom w:val="single" w:sz="8" w:space="0" w:color="auto"/>
            </w:tcBorders>
            <w:vAlign w:val="center"/>
          </w:tcPr>
          <w:p w14:paraId="71FE6423" w14:textId="77777777" w:rsidR="0078017A" w:rsidRPr="009B7C80" w:rsidRDefault="0078017A" w:rsidP="002027CD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124" w:type="dxa"/>
            <w:tcBorders>
              <w:bottom w:val="single" w:sz="8" w:space="0" w:color="auto"/>
            </w:tcBorders>
            <w:vAlign w:val="bottom"/>
          </w:tcPr>
          <w:p w14:paraId="47547FD9" w14:textId="77777777" w:rsidR="0078017A" w:rsidRPr="009B7C80" w:rsidRDefault="0078017A" w:rsidP="002027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7C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dGTP</w:t>
            </w:r>
            <w:proofErr w:type="spellEnd"/>
          </w:p>
        </w:tc>
        <w:tc>
          <w:tcPr>
            <w:tcW w:w="1124" w:type="dxa"/>
            <w:tcBorders>
              <w:bottom w:val="single" w:sz="8" w:space="0" w:color="auto"/>
            </w:tcBorders>
            <w:vAlign w:val="bottom"/>
          </w:tcPr>
          <w:p w14:paraId="0FB98412" w14:textId="77777777" w:rsidR="0078017A" w:rsidRPr="009B7C80" w:rsidRDefault="0078017A" w:rsidP="002027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9B7C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4" w:type="dxa"/>
            <w:tcBorders>
              <w:bottom w:val="single" w:sz="8" w:space="0" w:color="auto"/>
            </w:tcBorders>
            <w:vAlign w:val="bottom"/>
          </w:tcPr>
          <w:p w14:paraId="5B0C7104" w14:textId="77777777" w:rsidR="0078017A" w:rsidRPr="009B7C80" w:rsidRDefault="0078017A" w:rsidP="002027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9B7C80">
              <w:rPr>
                <w:rFonts w:ascii="Times New Roman" w:hAnsi="Times New Roman" w:cs="Times New Roman"/>
                <w:sz w:val="20"/>
                <w:szCs w:val="20"/>
              </w:rPr>
              <w:t>4.51</w:t>
            </w:r>
          </w:p>
        </w:tc>
        <w:tc>
          <w:tcPr>
            <w:tcW w:w="1037" w:type="dxa"/>
            <w:tcBorders>
              <w:bottom w:val="single" w:sz="8" w:space="0" w:color="auto"/>
            </w:tcBorders>
            <w:vAlign w:val="bottom"/>
          </w:tcPr>
          <w:p w14:paraId="0758956D" w14:textId="77777777" w:rsidR="0078017A" w:rsidRPr="009B7C80" w:rsidRDefault="0078017A" w:rsidP="002027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9B7C80">
              <w:rPr>
                <w:rFonts w:ascii="Times New Roman" w:hAnsi="Times New Roman" w:cs="Times New Roman"/>
                <w:sz w:val="20"/>
                <w:szCs w:val="20"/>
              </w:rPr>
              <w:t>4.38</w:t>
            </w:r>
          </w:p>
        </w:tc>
        <w:tc>
          <w:tcPr>
            <w:tcW w:w="1244" w:type="dxa"/>
            <w:tcBorders>
              <w:bottom w:val="single" w:sz="8" w:space="0" w:color="auto"/>
            </w:tcBorders>
            <w:vAlign w:val="bottom"/>
          </w:tcPr>
          <w:p w14:paraId="6C692A72" w14:textId="77777777" w:rsidR="0078017A" w:rsidRPr="009B7C80" w:rsidRDefault="0078017A" w:rsidP="002027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C80">
              <w:rPr>
                <w:rFonts w:ascii="Times New Roman" w:hAnsi="Times New Roman" w:cs="Times New Roman"/>
                <w:sz w:val="20"/>
                <w:szCs w:val="20"/>
              </w:rPr>
              <w:t>4.06</w:t>
            </w:r>
          </w:p>
        </w:tc>
      </w:tr>
    </w:tbl>
    <w:p w14:paraId="781CEE6F" w14:textId="77777777" w:rsidR="006E271E" w:rsidRDefault="006E271E"/>
    <w:sectPr w:rsidR="006E27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735"/>
    <w:rsid w:val="006E271E"/>
    <w:rsid w:val="0078017A"/>
    <w:rsid w:val="00F4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21DEC"/>
  <w15:chartTrackingRefBased/>
  <w15:docId w15:val="{ED211749-0090-4D04-AE94-4ECEB37E6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017A"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Müller</dc:creator>
  <cp:keywords/>
  <dc:description/>
  <cp:lastModifiedBy>Matthias Müller</cp:lastModifiedBy>
  <cp:revision>2</cp:revision>
  <dcterms:created xsi:type="dcterms:W3CDTF">2023-01-25T12:59:00Z</dcterms:created>
  <dcterms:modified xsi:type="dcterms:W3CDTF">2023-01-25T13:00:00Z</dcterms:modified>
</cp:coreProperties>
</file>